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71A" w:rsidRPr="009126DD" w:rsidRDefault="0088371A" w:rsidP="00C73767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9126DD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9126DD">
        <w:rPr>
          <w:rFonts w:ascii="Arial" w:hAnsi="Arial" w:cs="Arial"/>
          <w:bCs/>
          <w:i/>
          <w:spacing w:val="-3"/>
          <w:sz w:val="22"/>
          <w:szCs w:val="22"/>
        </w:rPr>
        <w:t>Queensland Civil and Administrative Tribunal Act 2009</w:t>
      </w:r>
      <w:r w:rsidRPr="009126DD">
        <w:rPr>
          <w:rFonts w:ascii="Arial" w:hAnsi="Arial" w:cs="Arial"/>
          <w:bCs/>
          <w:spacing w:val="-3"/>
          <w:sz w:val="22"/>
          <w:szCs w:val="22"/>
        </w:rPr>
        <w:t xml:space="preserve"> (QCAT Act) establishes QCAT and provides for appointment of members and adjudicators.</w:t>
      </w:r>
    </w:p>
    <w:p w:rsidR="0088371A" w:rsidRPr="009126DD" w:rsidRDefault="0088371A" w:rsidP="00C73767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26DD">
        <w:rPr>
          <w:rFonts w:ascii="Arial" w:hAnsi="Arial" w:cs="Arial"/>
          <w:bCs/>
          <w:spacing w:val="-3"/>
          <w:sz w:val="22"/>
          <w:szCs w:val="22"/>
        </w:rPr>
        <w:t>Sections 183 and 198 of the QCAT Act provide that:</w:t>
      </w:r>
    </w:p>
    <w:p w:rsidR="0088371A" w:rsidRPr="009126DD" w:rsidRDefault="0088371A">
      <w:pPr>
        <w:numPr>
          <w:ilvl w:val="0"/>
          <w:numId w:val="4"/>
        </w:numPr>
        <w:spacing w:before="120"/>
        <w:ind w:hanging="357"/>
        <w:jc w:val="both"/>
        <w:rPr>
          <w:rFonts w:ascii="Arial" w:hAnsi="Arial" w:cs="Arial"/>
          <w:sz w:val="22"/>
          <w:szCs w:val="22"/>
        </w:rPr>
      </w:pPr>
      <w:r w:rsidRPr="009126DD">
        <w:rPr>
          <w:rFonts w:ascii="Arial" w:hAnsi="Arial" w:cs="Arial"/>
          <w:sz w:val="22"/>
          <w:szCs w:val="22"/>
        </w:rPr>
        <w:t>as many senior members, ordinary members and adjudicators as are required for the proper functioning of the tribunal must be appointed;</w:t>
      </w:r>
    </w:p>
    <w:p w:rsidR="0088371A" w:rsidRPr="009126DD" w:rsidRDefault="0088371A">
      <w:pPr>
        <w:numPr>
          <w:ilvl w:val="0"/>
          <w:numId w:val="4"/>
        </w:numPr>
        <w:spacing w:before="120"/>
        <w:ind w:hanging="357"/>
        <w:jc w:val="both"/>
        <w:rPr>
          <w:rFonts w:ascii="Arial" w:hAnsi="Arial" w:cs="Arial"/>
          <w:sz w:val="22"/>
          <w:szCs w:val="22"/>
        </w:rPr>
      </w:pPr>
      <w:r w:rsidRPr="009126DD">
        <w:rPr>
          <w:rFonts w:ascii="Arial" w:hAnsi="Arial" w:cs="Arial"/>
          <w:sz w:val="22"/>
          <w:szCs w:val="22"/>
        </w:rPr>
        <w:t>a senior member, ordinary member or adjudicator must be recommended for appointment by the Minister after consultation with the President; and</w:t>
      </w:r>
    </w:p>
    <w:p w:rsidR="0088371A" w:rsidRPr="009126DD" w:rsidRDefault="0088371A">
      <w:pPr>
        <w:numPr>
          <w:ilvl w:val="0"/>
          <w:numId w:val="4"/>
        </w:numPr>
        <w:spacing w:before="120"/>
        <w:ind w:hanging="357"/>
        <w:jc w:val="both"/>
        <w:rPr>
          <w:rFonts w:ascii="Arial" w:hAnsi="Arial" w:cs="Arial"/>
          <w:sz w:val="22"/>
          <w:szCs w:val="22"/>
        </w:rPr>
      </w:pPr>
      <w:r w:rsidRPr="009126DD">
        <w:rPr>
          <w:rFonts w:ascii="Arial" w:hAnsi="Arial" w:cs="Arial"/>
          <w:sz w:val="22"/>
          <w:szCs w:val="22"/>
        </w:rPr>
        <w:t>before recommending a person for appointment as a senior member, ordinary member or adjudicator, the Minister must advertise for applications from appropriately qualified persons to be considered for selection.</w:t>
      </w:r>
    </w:p>
    <w:p w:rsidR="00D22954" w:rsidRPr="009126DD" w:rsidRDefault="00D22954" w:rsidP="00C73767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26DD">
        <w:rPr>
          <w:rFonts w:ascii="Arial" w:hAnsi="Arial" w:cs="Arial"/>
          <w:bCs/>
          <w:spacing w:val="-3"/>
          <w:sz w:val="22"/>
          <w:szCs w:val="22"/>
        </w:rPr>
        <w:t xml:space="preserve">Section 452 of the </w:t>
      </w:r>
      <w:r w:rsidRPr="00A4496B">
        <w:rPr>
          <w:rFonts w:ascii="Arial" w:hAnsi="Arial" w:cs="Arial"/>
          <w:bCs/>
          <w:i/>
          <w:spacing w:val="-3"/>
          <w:sz w:val="22"/>
          <w:szCs w:val="22"/>
        </w:rPr>
        <w:t>Legal Profession Act 2007</w:t>
      </w:r>
      <w:r w:rsidRPr="009126DD">
        <w:rPr>
          <w:rFonts w:ascii="Arial" w:hAnsi="Arial" w:cs="Arial"/>
          <w:bCs/>
          <w:spacing w:val="-3"/>
          <w:sz w:val="22"/>
          <w:szCs w:val="22"/>
        </w:rPr>
        <w:t xml:space="preserve"> (LPA) confers on the Queensland Civil and Administrative Tribunal (QCAT) the jurisdiction to hear and decide discipline applications about legal practitioners made by the Legal Services Commissioner.</w:t>
      </w:r>
    </w:p>
    <w:p w:rsidR="00D22954" w:rsidRPr="009126DD" w:rsidRDefault="00D22954" w:rsidP="00C73767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26DD">
        <w:rPr>
          <w:rFonts w:ascii="Arial" w:hAnsi="Arial" w:cs="Arial"/>
          <w:bCs/>
          <w:spacing w:val="-3"/>
          <w:sz w:val="22"/>
          <w:szCs w:val="22"/>
        </w:rPr>
        <w:t>Section 599 of the LPA requires QCAT to be helped by a member of the practitioner panel and a member of the lay panel established under section 607 of the LPA.</w:t>
      </w:r>
    </w:p>
    <w:p w:rsidR="0088371A" w:rsidRPr="009126DD" w:rsidRDefault="00B700F5" w:rsidP="00C73767">
      <w:pPr>
        <w:numPr>
          <w:ilvl w:val="0"/>
          <w:numId w:val="3"/>
        </w:numPr>
        <w:tabs>
          <w:tab w:val="clear" w:pos="720"/>
          <w:tab w:val="num" w:pos="360"/>
        </w:tabs>
        <w:spacing w:before="240" w:after="240"/>
        <w:ind w:left="363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26DD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9126DD">
        <w:rPr>
          <w:rFonts w:ascii="Arial" w:hAnsi="Arial" w:cs="Arial"/>
          <w:bCs/>
          <w:spacing w:val="-3"/>
          <w:sz w:val="22"/>
          <w:szCs w:val="22"/>
        </w:rPr>
        <w:t xml:space="preserve"> that </w:t>
      </w:r>
      <w:r w:rsidR="0088371A" w:rsidRPr="009126DD">
        <w:rPr>
          <w:rFonts w:ascii="Arial" w:hAnsi="Arial" w:cs="Arial"/>
          <w:bCs/>
          <w:spacing w:val="-3"/>
          <w:sz w:val="22"/>
          <w:szCs w:val="22"/>
        </w:rPr>
        <w:t xml:space="preserve">the nominees listed below be recommended to the Governor in Council for appointment as ordinary sessional members </w:t>
      </w:r>
      <w:r w:rsidR="00D22954" w:rsidRPr="009126DD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="00A4496B">
        <w:rPr>
          <w:rFonts w:ascii="Arial" w:hAnsi="Arial" w:cs="Arial"/>
          <w:bCs/>
          <w:spacing w:val="-3"/>
          <w:sz w:val="22"/>
          <w:szCs w:val="22"/>
        </w:rPr>
        <w:t>the Queensland Civil and Administrative Tribunal</w:t>
      </w:r>
      <w:r w:rsidR="00D22954" w:rsidRPr="009126D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8371A" w:rsidRPr="009126DD">
        <w:rPr>
          <w:rFonts w:ascii="Arial" w:hAnsi="Arial" w:cs="Arial"/>
          <w:bCs/>
          <w:spacing w:val="-3"/>
          <w:sz w:val="22"/>
          <w:szCs w:val="22"/>
        </w:rPr>
        <w:t>for a term of five years commencing from the day following Governor in Council approval:</w:t>
      </w:r>
    </w:p>
    <w:tbl>
      <w:tblPr>
        <w:tblStyle w:val="TableGrid"/>
        <w:tblW w:w="871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757"/>
        <w:gridCol w:w="2693"/>
        <w:gridCol w:w="3260"/>
      </w:tblGrid>
      <w:tr w:rsidR="00E324FF" w:rsidRPr="009126DD" w:rsidTr="00EC0562">
        <w:tc>
          <w:tcPr>
            <w:tcW w:w="2757" w:type="dxa"/>
          </w:tcPr>
          <w:p w:rsidR="00E324FF" w:rsidRPr="009126DD" w:rsidRDefault="00E324FF" w:rsidP="00E324FF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Patricia Josephine Hanly</w:t>
            </w:r>
          </w:p>
        </w:tc>
        <w:tc>
          <w:tcPr>
            <w:tcW w:w="2693" w:type="dxa"/>
          </w:tcPr>
          <w:p w:rsidR="00E324FF" w:rsidRPr="009126DD" w:rsidRDefault="00E324FF" w:rsidP="00E324FF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Kristy Crabb</w:t>
            </w:r>
          </w:p>
        </w:tc>
        <w:tc>
          <w:tcPr>
            <w:tcW w:w="3260" w:type="dxa"/>
          </w:tcPr>
          <w:p w:rsidR="00E324FF" w:rsidRPr="009126DD" w:rsidRDefault="00E324FF" w:rsidP="00E324FF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Renea Hart</w:t>
            </w:r>
          </w:p>
        </w:tc>
      </w:tr>
      <w:tr w:rsidR="00E324FF" w:rsidRPr="009126DD" w:rsidTr="00EC0562">
        <w:tc>
          <w:tcPr>
            <w:tcW w:w="2757" w:type="dxa"/>
          </w:tcPr>
          <w:p w:rsidR="00E324FF" w:rsidRPr="009126DD" w:rsidRDefault="00E324FF" w:rsidP="00E324FF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Clare Cecelia Endicott</w:t>
            </w:r>
          </w:p>
        </w:tc>
        <w:tc>
          <w:tcPr>
            <w:tcW w:w="2693" w:type="dxa"/>
          </w:tcPr>
          <w:p w:rsidR="00E324FF" w:rsidRPr="009126DD" w:rsidRDefault="00E324FF" w:rsidP="00E324FF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Suellan Walker-Munro</w:t>
            </w:r>
          </w:p>
        </w:tc>
        <w:tc>
          <w:tcPr>
            <w:tcW w:w="3260" w:type="dxa"/>
          </w:tcPr>
          <w:p w:rsidR="00E324FF" w:rsidRPr="009126DD" w:rsidRDefault="00E324FF" w:rsidP="00E324FF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Patricia Kirkman-Scroope</w:t>
            </w:r>
          </w:p>
        </w:tc>
      </w:tr>
      <w:tr w:rsidR="00E324FF" w:rsidRPr="009126DD" w:rsidTr="00EC0562">
        <w:tc>
          <w:tcPr>
            <w:tcW w:w="2757" w:type="dxa"/>
          </w:tcPr>
          <w:p w:rsidR="00E324FF" w:rsidRPr="009126DD" w:rsidRDefault="00E324FF" w:rsidP="00E324FF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Dr Alan James Collier</w:t>
            </w:r>
          </w:p>
        </w:tc>
        <w:tc>
          <w:tcPr>
            <w:tcW w:w="2693" w:type="dxa"/>
          </w:tcPr>
          <w:p w:rsidR="00E324FF" w:rsidRPr="009126DD" w:rsidRDefault="00E324FF" w:rsidP="00E324FF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Rosemary Dalby</w:t>
            </w:r>
          </w:p>
        </w:tc>
        <w:tc>
          <w:tcPr>
            <w:tcW w:w="3260" w:type="dxa"/>
          </w:tcPr>
          <w:p w:rsidR="00E324FF" w:rsidRPr="009126DD" w:rsidRDefault="00E324FF" w:rsidP="00E324FF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Sharon Schoneveld</w:t>
            </w:r>
          </w:p>
        </w:tc>
      </w:tr>
      <w:tr w:rsidR="00E324FF" w:rsidRPr="009126DD" w:rsidTr="00EC0562">
        <w:tc>
          <w:tcPr>
            <w:tcW w:w="2757" w:type="dxa"/>
          </w:tcPr>
          <w:p w:rsidR="00E324FF" w:rsidRPr="009126DD" w:rsidRDefault="00E324FF" w:rsidP="00E324FF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Richard Ian Hanger QC</w:t>
            </w:r>
          </w:p>
        </w:tc>
        <w:tc>
          <w:tcPr>
            <w:tcW w:w="2693" w:type="dxa"/>
          </w:tcPr>
          <w:p w:rsidR="00E324FF" w:rsidRPr="009126DD" w:rsidRDefault="00E324FF" w:rsidP="00E324FF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Raelene Ellis</w:t>
            </w:r>
          </w:p>
        </w:tc>
        <w:tc>
          <w:tcPr>
            <w:tcW w:w="3260" w:type="dxa"/>
          </w:tcPr>
          <w:p w:rsidR="00E324FF" w:rsidRPr="009126DD" w:rsidRDefault="00E324FF" w:rsidP="00E324FF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Annette Sheffield</w:t>
            </w:r>
          </w:p>
        </w:tc>
      </w:tr>
      <w:tr w:rsidR="00E324FF" w:rsidRPr="009126DD" w:rsidTr="00EC0562">
        <w:tc>
          <w:tcPr>
            <w:tcW w:w="2757" w:type="dxa"/>
          </w:tcPr>
          <w:p w:rsidR="00E324FF" w:rsidRPr="009126DD" w:rsidRDefault="00E324FF" w:rsidP="00E324FF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Stephen Armitage</w:t>
            </w:r>
          </w:p>
        </w:tc>
        <w:tc>
          <w:tcPr>
            <w:tcW w:w="2693" w:type="dxa"/>
          </w:tcPr>
          <w:p w:rsidR="00E324FF" w:rsidRPr="009126DD" w:rsidRDefault="00E324FF" w:rsidP="00E324FF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E324FF" w:rsidRPr="009126DD" w:rsidRDefault="00E324FF" w:rsidP="00E324FF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43F1" w:rsidRPr="009126DD" w:rsidRDefault="00B700F5" w:rsidP="00C73767">
      <w:pPr>
        <w:numPr>
          <w:ilvl w:val="0"/>
          <w:numId w:val="3"/>
        </w:numPr>
        <w:tabs>
          <w:tab w:val="clear" w:pos="720"/>
          <w:tab w:val="num" w:pos="360"/>
        </w:tabs>
        <w:spacing w:before="240" w:after="240"/>
        <w:ind w:left="363" w:hanging="357"/>
        <w:jc w:val="both"/>
        <w:rPr>
          <w:rFonts w:ascii="Arial" w:hAnsi="Arial" w:cs="Arial"/>
          <w:bCs/>
          <w:spacing w:val="-3"/>
          <w:sz w:val="22"/>
          <w:szCs w:val="22"/>
        </w:rPr>
        <w:sectPr w:rsidR="008743F1" w:rsidRPr="009126DD" w:rsidSect="00207689">
          <w:headerReference w:type="default" r:id="rId8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 w:rsidRPr="009126DD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9126DD">
        <w:rPr>
          <w:rFonts w:ascii="Arial" w:hAnsi="Arial" w:cs="Arial"/>
          <w:bCs/>
          <w:spacing w:val="-3"/>
          <w:sz w:val="22"/>
          <w:szCs w:val="22"/>
        </w:rPr>
        <w:t xml:space="preserve"> that </w:t>
      </w:r>
      <w:r w:rsidR="00D22954" w:rsidRPr="009126DD">
        <w:rPr>
          <w:rFonts w:ascii="Arial" w:hAnsi="Arial" w:cs="Arial"/>
          <w:bCs/>
          <w:spacing w:val="-3"/>
          <w:sz w:val="22"/>
          <w:szCs w:val="22"/>
        </w:rPr>
        <w:t xml:space="preserve">the nominees listed below be recommended to the Governor in Council for appointment as members to the lay panel </w:t>
      </w:r>
      <w:r w:rsidRPr="009126DD">
        <w:rPr>
          <w:rFonts w:ascii="Arial" w:hAnsi="Arial" w:cs="Arial"/>
          <w:bCs/>
          <w:spacing w:val="-3"/>
          <w:sz w:val="22"/>
          <w:szCs w:val="22"/>
        </w:rPr>
        <w:t xml:space="preserve">of </w:t>
      </w:r>
      <w:r w:rsidR="00D01DCF">
        <w:rPr>
          <w:rFonts w:ascii="Arial" w:hAnsi="Arial" w:cs="Arial"/>
          <w:bCs/>
          <w:spacing w:val="-3"/>
          <w:sz w:val="22"/>
          <w:szCs w:val="22"/>
        </w:rPr>
        <w:t>the Queensland Civil and Administrative Tribunal</w:t>
      </w:r>
      <w:r w:rsidR="00D22954" w:rsidRPr="009126DD">
        <w:rPr>
          <w:rFonts w:ascii="Arial" w:hAnsi="Arial" w:cs="Arial"/>
          <w:bCs/>
          <w:spacing w:val="-3"/>
          <w:sz w:val="22"/>
          <w:szCs w:val="22"/>
        </w:rPr>
        <w:t xml:space="preserve"> for </w:t>
      </w:r>
      <w:r w:rsidRPr="009126DD">
        <w:rPr>
          <w:rFonts w:ascii="Arial" w:hAnsi="Arial" w:cs="Arial"/>
          <w:bCs/>
          <w:spacing w:val="-3"/>
          <w:sz w:val="22"/>
          <w:szCs w:val="22"/>
        </w:rPr>
        <w:t>varying terms</w:t>
      </w:r>
      <w:r w:rsidR="00D22954" w:rsidRPr="009126DD">
        <w:rPr>
          <w:rFonts w:ascii="Arial" w:hAnsi="Arial" w:cs="Arial"/>
          <w:bCs/>
          <w:spacing w:val="-3"/>
          <w:sz w:val="22"/>
          <w:szCs w:val="22"/>
        </w:rPr>
        <w:t xml:space="preserve"> as follows:</w:t>
      </w:r>
    </w:p>
    <w:tbl>
      <w:tblPr>
        <w:tblStyle w:val="TableGrid"/>
        <w:tblW w:w="8710" w:type="dxa"/>
        <w:tblInd w:w="357" w:type="dxa"/>
        <w:tblLook w:val="04A0" w:firstRow="1" w:lastRow="0" w:firstColumn="1" w:lastColumn="0" w:noHBand="0" w:noVBand="1"/>
      </w:tblPr>
      <w:tblGrid>
        <w:gridCol w:w="3324"/>
        <w:gridCol w:w="5386"/>
      </w:tblGrid>
      <w:tr w:rsidR="00B700F5" w:rsidRPr="009126DD" w:rsidTr="00EC0562">
        <w:tc>
          <w:tcPr>
            <w:tcW w:w="3324" w:type="dxa"/>
          </w:tcPr>
          <w:p w:rsidR="00B700F5" w:rsidRPr="009126DD" w:rsidRDefault="00B700F5" w:rsidP="00455578">
            <w:pPr>
              <w:pStyle w:val="BodyText2"/>
              <w:tabs>
                <w:tab w:val="num" w:pos="84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26DD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5386" w:type="dxa"/>
          </w:tcPr>
          <w:p w:rsidR="00B700F5" w:rsidRPr="009126DD" w:rsidRDefault="00B700F5" w:rsidP="00455578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126DD">
              <w:rPr>
                <w:rFonts w:ascii="Arial" w:hAnsi="Arial" w:cs="Arial"/>
                <w:b/>
                <w:sz w:val="22"/>
                <w:szCs w:val="22"/>
              </w:rPr>
              <w:t xml:space="preserve">Term </w:t>
            </w:r>
          </w:p>
        </w:tc>
      </w:tr>
      <w:tr w:rsidR="00B700F5" w:rsidRPr="009126DD" w:rsidTr="00EC0562">
        <w:tc>
          <w:tcPr>
            <w:tcW w:w="3324" w:type="dxa"/>
          </w:tcPr>
          <w:p w:rsidR="00B700F5" w:rsidRPr="009126DD" w:rsidRDefault="00B700F5" w:rsidP="00455578">
            <w:pPr>
              <w:pStyle w:val="BodyText2"/>
              <w:tabs>
                <w:tab w:val="num" w:pos="840"/>
              </w:tabs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Julie Elizabeth Cork</w:t>
            </w:r>
          </w:p>
        </w:tc>
        <w:tc>
          <w:tcPr>
            <w:tcW w:w="5386" w:type="dxa"/>
          </w:tcPr>
          <w:p w:rsidR="00B700F5" w:rsidRPr="009126DD" w:rsidRDefault="00A37523" w:rsidP="00A37523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37523">
              <w:rPr>
                <w:rFonts w:ascii="Arial" w:hAnsi="Arial" w:cs="Arial"/>
                <w:color w:val="auto"/>
                <w:sz w:val="22"/>
                <w:szCs w:val="22"/>
              </w:rPr>
              <w:t>On and from 28/07/2017 to and including 27/07/2020</w:t>
            </w:r>
          </w:p>
        </w:tc>
      </w:tr>
      <w:tr w:rsidR="00B700F5" w:rsidRPr="009126DD" w:rsidTr="00EC0562">
        <w:tc>
          <w:tcPr>
            <w:tcW w:w="3324" w:type="dxa"/>
          </w:tcPr>
          <w:p w:rsidR="00B700F5" w:rsidRPr="009126DD" w:rsidRDefault="004C62AF" w:rsidP="00455578">
            <w:pPr>
              <w:pStyle w:val="BodyText2"/>
              <w:tabs>
                <w:tab w:val="num" w:pos="840"/>
              </w:tabs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</w:t>
            </w:r>
            <w:r w:rsidR="00B700F5" w:rsidRPr="009126DD">
              <w:rPr>
                <w:rFonts w:ascii="Arial" w:hAnsi="Arial" w:cs="Arial"/>
                <w:sz w:val="22"/>
                <w:szCs w:val="22"/>
              </w:rPr>
              <w:t>Julian Lamont</w:t>
            </w:r>
          </w:p>
        </w:tc>
        <w:tc>
          <w:tcPr>
            <w:tcW w:w="5386" w:type="dxa"/>
          </w:tcPr>
          <w:p w:rsidR="00B700F5" w:rsidRPr="009126DD" w:rsidRDefault="00A37523" w:rsidP="00455578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37523">
              <w:rPr>
                <w:rFonts w:ascii="Arial" w:hAnsi="Arial" w:cs="Arial"/>
                <w:color w:val="auto"/>
                <w:sz w:val="22"/>
                <w:szCs w:val="22"/>
              </w:rPr>
              <w:t>On and from 28/07/2017 to and including 27/07/2020</w:t>
            </w:r>
          </w:p>
        </w:tc>
      </w:tr>
      <w:tr w:rsidR="00B700F5" w:rsidRPr="009126DD" w:rsidTr="00EC0562">
        <w:tc>
          <w:tcPr>
            <w:tcW w:w="3324" w:type="dxa"/>
          </w:tcPr>
          <w:p w:rsidR="00B700F5" w:rsidRPr="009126DD" w:rsidRDefault="00B700F5" w:rsidP="00455578">
            <w:pPr>
              <w:pStyle w:val="BodyText2"/>
              <w:tabs>
                <w:tab w:val="num" w:pos="840"/>
              </w:tabs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Margaret Ann Steinberg AM</w:t>
            </w:r>
          </w:p>
        </w:tc>
        <w:tc>
          <w:tcPr>
            <w:tcW w:w="5386" w:type="dxa"/>
          </w:tcPr>
          <w:p w:rsidR="00B700F5" w:rsidRPr="009126DD" w:rsidRDefault="00A37523" w:rsidP="00455578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37523">
              <w:rPr>
                <w:rFonts w:ascii="Arial" w:hAnsi="Arial" w:cs="Arial"/>
                <w:color w:val="auto"/>
                <w:sz w:val="22"/>
                <w:szCs w:val="22"/>
              </w:rPr>
              <w:t>On and from 28/07/2017 to and including 27/07/2020</w:t>
            </w:r>
          </w:p>
        </w:tc>
      </w:tr>
      <w:tr w:rsidR="00B700F5" w:rsidRPr="009126DD" w:rsidTr="00EC0562">
        <w:tc>
          <w:tcPr>
            <w:tcW w:w="3324" w:type="dxa"/>
          </w:tcPr>
          <w:p w:rsidR="00B700F5" w:rsidRPr="009126DD" w:rsidRDefault="00B700F5" w:rsidP="00455578">
            <w:pPr>
              <w:pStyle w:val="BodyText2"/>
              <w:tabs>
                <w:tab w:val="num" w:pos="840"/>
              </w:tabs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Patrice Lorraine McKay</w:t>
            </w:r>
          </w:p>
        </w:tc>
        <w:tc>
          <w:tcPr>
            <w:tcW w:w="5386" w:type="dxa"/>
          </w:tcPr>
          <w:p w:rsidR="00B700F5" w:rsidRPr="009126DD" w:rsidRDefault="00A37523" w:rsidP="00455578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37523">
              <w:rPr>
                <w:rFonts w:ascii="Arial" w:hAnsi="Arial" w:cs="Arial"/>
                <w:color w:val="auto"/>
                <w:sz w:val="22"/>
                <w:szCs w:val="22"/>
              </w:rPr>
              <w:t>On and from 28/07/2017 to and including 27/07/2020</w:t>
            </w:r>
          </w:p>
        </w:tc>
      </w:tr>
      <w:tr w:rsidR="00B700F5" w:rsidRPr="009126DD" w:rsidTr="00EC0562">
        <w:tc>
          <w:tcPr>
            <w:tcW w:w="3324" w:type="dxa"/>
          </w:tcPr>
          <w:p w:rsidR="00B700F5" w:rsidRPr="009126DD" w:rsidRDefault="00B700F5" w:rsidP="00455578">
            <w:pPr>
              <w:pStyle w:val="BodyText2"/>
              <w:tabs>
                <w:tab w:val="num" w:pos="840"/>
              </w:tabs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Keith Michael Revell</w:t>
            </w:r>
          </w:p>
        </w:tc>
        <w:tc>
          <w:tcPr>
            <w:tcW w:w="5386" w:type="dxa"/>
          </w:tcPr>
          <w:p w:rsidR="00B700F5" w:rsidRPr="009126DD" w:rsidRDefault="00A37523" w:rsidP="00455578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37523">
              <w:rPr>
                <w:rFonts w:ascii="Arial" w:hAnsi="Arial" w:cs="Arial"/>
                <w:color w:val="auto"/>
                <w:sz w:val="22"/>
                <w:szCs w:val="22"/>
              </w:rPr>
              <w:t>On and from 28/07/2017 to and including 27/07/2020</w:t>
            </w:r>
          </w:p>
        </w:tc>
      </w:tr>
      <w:tr w:rsidR="00B700F5" w:rsidRPr="009126DD" w:rsidTr="00EC0562">
        <w:tc>
          <w:tcPr>
            <w:tcW w:w="3324" w:type="dxa"/>
          </w:tcPr>
          <w:p w:rsidR="00B700F5" w:rsidRPr="009126DD" w:rsidRDefault="00B700F5" w:rsidP="00455578">
            <w:pPr>
              <w:pStyle w:val="BodyText2"/>
              <w:tabs>
                <w:tab w:val="num" w:pos="840"/>
              </w:tabs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Dr Susan Jean Dann</w:t>
            </w:r>
          </w:p>
        </w:tc>
        <w:tc>
          <w:tcPr>
            <w:tcW w:w="5386" w:type="dxa"/>
          </w:tcPr>
          <w:p w:rsidR="00B700F5" w:rsidRPr="009126DD" w:rsidRDefault="00A37523" w:rsidP="00A37523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37523">
              <w:rPr>
                <w:rFonts w:ascii="Arial" w:hAnsi="Arial" w:cs="Arial"/>
                <w:color w:val="auto"/>
                <w:sz w:val="22"/>
                <w:szCs w:val="22"/>
              </w:rPr>
              <w:t>On and from 26/09/2017 to and including 27/07/2020</w:t>
            </w:r>
          </w:p>
        </w:tc>
      </w:tr>
    </w:tbl>
    <w:p w:rsidR="00E86C43" w:rsidRDefault="00E86C43" w:rsidP="00C73767">
      <w:pPr>
        <w:spacing w:before="120" w:after="120"/>
        <w:ind w:left="363"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E86C43" w:rsidRDefault="00E86C43">
      <w:pPr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br w:type="page"/>
      </w:r>
    </w:p>
    <w:p w:rsidR="00B700F5" w:rsidRPr="009126DD" w:rsidRDefault="00B700F5" w:rsidP="009126DD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3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26DD">
        <w:rPr>
          <w:rFonts w:ascii="Arial" w:hAnsi="Arial" w:cs="Arial"/>
          <w:bCs/>
          <w:spacing w:val="-3"/>
          <w:sz w:val="22"/>
          <w:szCs w:val="22"/>
          <w:u w:val="single"/>
        </w:rPr>
        <w:lastRenderedPageBreak/>
        <w:t>Cabinet endorsed</w:t>
      </w:r>
      <w:r w:rsidRPr="009126DD">
        <w:rPr>
          <w:rFonts w:ascii="Arial" w:hAnsi="Arial" w:cs="Arial"/>
          <w:bCs/>
          <w:spacing w:val="-3"/>
          <w:sz w:val="22"/>
          <w:szCs w:val="22"/>
        </w:rPr>
        <w:t xml:space="preserve"> that the nominees listed below be recommended to the Governor in Council for appointment as members to the practitioner panel of </w:t>
      </w:r>
      <w:r w:rsidR="00D01DCF">
        <w:rPr>
          <w:rFonts w:ascii="Arial" w:hAnsi="Arial" w:cs="Arial"/>
          <w:bCs/>
          <w:spacing w:val="-3"/>
          <w:sz w:val="22"/>
          <w:szCs w:val="22"/>
        </w:rPr>
        <w:t>the Queensland Civil and Administrative Tribunal</w:t>
      </w:r>
      <w:r w:rsidRPr="009126DD">
        <w:rPr>
          <w:rFonts w:ascii="Arial" w:hAnsi="Arial" w:cs="Arial"/>
          <w:bCs/>
          <w:spacing w:val="-3"/>
          <w:sz w:val="22"/>
          <w:szCs w:val="22"/>
        </w:rPr>
        <w:t xml:space="preserve"> for varying terms as follows:</w:t>
      </w:r>
    </w:p>
    <w:tbl>
      <w:tblPr>
        <w:tblStyle w:val="TableGrid"/>
        <w:tblW w:w="8637" w:type="dxa"/>
        <w:tblInd w:w="357" w:type="dxa"/>
        <w:tblLook w:val="04A0" w:firstRow="1" w:lastRow="0" w:firstColumn="1" w:lastColumn="0" w:noHBand="0" w:noVBand="1"/>
      </w:tblPr>
      <w:tblGrid>
        <w:gridCol w:w="3182"/>
        <w:gridCol w:w="5455"/>
      </w:tblGrid>
      <w:tr w:rsidR="00B700F5" w:rsidRPr="009126DD" w:rsidTr="00C73767">
        <w:tc>
          <w:tcPr>
            <w:tcW w:w="3182" w:type="dxa"/>
          </w:tcPr>
          <w:p w:rsidR="00B700F5" w:rsidRPr="009126DD" w:rsidRDefault="00B700F5" w:rsidP="00636610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126DD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5455" w:type="dxa"/>
          </w:tcPr>
          <w:p w:rsidR="00B700F5" w:rsidRPr="009126DD" w:rsidRDefault="00B700F5" w:rsidP="00455578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126DD">
              <w:rPr>
                <w:rFonts w:ascii="Arial" w:hAnsi="Arial" w:cs="Arial"/>
                <w:b/>
                <w:sz w:val="22"/>
                <w:szCs w:val="22"/>
              </w:rPr>
              <w:t>Term</w:t>
            </w:r>
          </w:p>
        </w:tc>
      </w:tr>
      <w:tr w:rsidR="00B700F5" w:rsidRPr="009126DD" w:rsidTr="00C73767">
        <w:tc>
          <w:tcPr>
            <w:tcW w:w="3182" w:type="dxa"/>
          </w:tcPr>
          <w:p w:rsidR="00B700F5" w:rsidRPr="009126DD" w:rsidRDefault="00B700F5" w:rsidP="00636610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Geoffrey Neil Gunn</w:t>
            </w:r>
          </w:p>
        </w:tc>
        <w:tc>
          <w:tcPr>
            <w:tcW w:w="5455" w:type="dxa"/>
          </w:tcPr>
          <w:p w:rsidR="00B700F5" w:rsidRPr="009126DD" w:rsidRDefault="00D90AAF" w:rsidP="00D90AAF">
            <w:pPr>
              <w:pStyle w:val="BodyText2"/>
              <w:tabs>
                <w:tab w:val="left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90AAF">
              <w:rPr>
                <w:rFonts w:ascii="Arial" w:hAnsi="Arial" w:cs="Arial"/>
                <w:color w:val="auto"/>
                <w:sz w:val="22"/>
                <w:szCs w:val="22"/>
              </w:rPr>
              <w:t>On and from 28/07/2017 to and including 27/07/2020</w:t>
            </w:r>
          </w:p>
        </w:tc>
      </w:tr>
      <w:tr w:rsidR="00B700F5" w:rsidRPr="009126DD" w:rsidTr="00C73767">
        <w:tc>
          <w:tcPr>
            <w:tcW w:w="3182" w:type="dxa"/>
          </w:tcPr>
          <w:p w:rsidR="00B700F5" w:rsidRPr="009126DD" w:rsidRDefault="00B700F5" w:rsidP="00636610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Thomas Joseph Bradley QC</w:t>
            </w:r>
          </w:p>
        </w:tc>
        <w:tc>
          <w:tcPr>
            <w:tcW w:w="5455" w:type="dxa"/>
          </w:tcPr>
          <w:p w:rsidR="00B700F5" w:rsidRPr="009126DD" w:rsidRDefault="00D90AAF" w:rsidP="00455578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90AAF">
              <w:rPr>
                <w:rFonts w:ascii="Arial" w:hAnsi="Arial" w:cs="Arial"/>
                <w:color w:val="auto"/>
                <w:sz w:val="22"/>
                <w:szCs w:val="22"/>
              </w:rPr>
              <w:t>On and from 28/07/2017 to and including 27/07/2020</w:t>
            </w:r>
          </w:p>
        </w:tc>
      </w:tr>
      <w:tr w:rsidR="00B700F5" w:rsidRPr="009126DD" w:rsidTr="00C73767">
        <w:tc>
          <w:tcPr>
            <w:tcW w:w="3182" w:type="dxa"/>
          </w:tcPr>
          <w:p w:rsidR="00B700F5" w:rsidRPr="009126DD" w:rsidRDefault="00B700F5" w:rsidP="00636610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Kenneth John Horsley</w:t>
            </w:r>
          </w:p>
        </w:tc>
        <w:tc>
          <w:tcPr>
            <w:tcW w:w="5455" w:type="dxa"/>
          </w:tcPr>
          <w:p w:rsidR="00B700F5" w:rsidRPr="009126DD" w:rsidRDefault="00D90AAF" w:rsidP="00455578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90AAF">
              <w:rPr>
                <w:rFonts w:ascii="Arial" w:hAnsi="Arial" w:cs="Arial"/>
                <w:color w:val="auto"/>
                <w:sz w:val="22"/>
                <w:szCs w:val="22"/>
              </w:rPr>
              <w:t>On and from 28/07/2017 to and including 27/07/2020</w:t>
            </w:r>
          </w:p>
        </w:tc>
      </w:tr>
      <w:tr w:rsidR="00B700F5" w:rsidRPr="009126DD" w:rsidTr="00C73767">
        <w:tc>
          <w:tcPr>
            <w:tcW w:w="3182" w:type="dxa"/>
          </w:tcPr>
          <w:p w:rsidR="00B700F5" w:rsidRPr="009126DD" w:rsidRDefault="00B700F5" w:rsidP="00636610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Joanne Mary Collins</w:t>
            </w:r>
          </w:p>
        </w:tc>
        <w:tc>
          <w:tcPr>
            <w:tcW w:w="5455" w:type="dxa"/>
          </w:tcPr>
          <w:p w:rsidR="00B700F5" w:rsidRPr="009126DD" w:rsidRDefault="00D90AAF" w:rsidP="00455578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90AAF">
              <w:rPr>
                <w:rFonts w:ascii="Arial" w:hAnsi="Arial" w:cs="Arial"/>
                <w:color w:val="auto"/>
                <w:sz w:val="22"/>
                <w:szCs w:val="22"/>
              </w:rPr>
              <w:t>On and from 28/07/2017 to and including 27/07/2020</w:t>
            </w:r>
          </w:p>
        </w:tc>
      </w:tr>
      <w:tr w:rsidR="00B700F5" w:rsidRPr="009126DD" w:rsidTr="00C73767">
        <w:tc>
          <w:tcPr>
            <w:tcW w:w="3182" w:type="dxa"/>
          </w:tcPr>
          <w:p w:rsidR="00B700F5" w:rsidRPr="009126DD" w:rsidRDefault="00B700F5" w:rsidP="00636610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Michael John Douglas Meadows</w:t>
            </w:r>
          </w:p>
        </w:tc>
        <w:tc>
          <w:tcPr>
            <w:tcW w:w="5455" w:type="dxa"/>
          </w:tcPr>
          <w:p w:rsidR="00B700F5" w:rsidRPr="009126DD" w:rsidRDefault="00D90AAF" w:rsidP="00455578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90AAF">
              <w:rPr>
                <w:rFonts w:ascii="Arial" w:hAnsi="Arial" w:cs="Arial"/>
                <w:color w:val="auto"/>
                <w:sz w:val="22"/>
                <w:szCs w:val="22"/>
              </w:rPr>
              <w:t>On and from 28/07/2017 to and including 27/07/2020</w:t>
            </w:r>
          </w:p>
        </w:tc>
      </w:tr>
      <w:tr w:rsidR="00B700F5" w:rsidRPr="009126DD" w:rsidTr="00C73767">
        <w:tc>
          <w:tcPr>
            <w:tcW w:w="3182" w:type="dxa"/>
          </w:tcPr>
          <w:p w:rsidR="00B700F5" w:rsidRPr="009126DD" w:rsidRDefault="00B700F5" w:rsidP="00636610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John Kees de Groot</w:t>
            </w:r>
          </w:p>
        </w:tc>
        <w:tc>
          <w:tcPr>
            <w:tcW w:w="5455" w:type="dxa"/>
          </w:tcPr>
          <w:p w:rsidR="00B700F5" w:rsidRPr="009126DD" w:rsidRDefault="00D90AAF" w:rsidP="00455578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90AAF">
              <w:rPr>
                <w:rFonts w:ascii="Arial" w:hAnsi="Arial" w:cs="Arial"/>
                <w:color w:val="auto"/>
                <w:sz w:val="22"/>
                <w:szCs w:val="22"/>
              </w:rPr>
              <w:t>On and from 28/07/2017 to and including 27/07/2020</w:t>
            </w:r>
          </w:p>
        </w:tc>
      </w:tr>
      <w:tr w:rsidR="00B700F5" w:rsidRPr="009126DD" w:rsidTr="00C73767">
        <w:tc>
          <w:tcPr>
            <w:tcW w:w="3182" w:type="dxa"/>
          </w:tcPr>
          <w:p w:rsidR="00B700F5" w:rsidRPr="009126DD" w:rsidRDefault="00B700F5" w:rsidP="00636610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Scott Leslie Anderson</w:t>
            </w:r>
          </w:p>
        </w:tc>
        <w:tc>
          <w:tcPr>
            <w:tcW w:w="5455" w:type="dxa"/>
          </w:tcPr>
          <w:p w:rsidR="00B700F5" w:rsidRPr="009126DD" w:rsidRDefault="00D90AAF" w:rsidP="00D90AAF">
            <w:pPr>
              <w:pStyle w:val="BodyText2"/>
              <w:tabs>
                <w:tab w:val="left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On and from 26</w:t>
            </w:r>
            <w:r w:rsidRPr="00D90AAF">
              <w:rPr>
                <w:rFonts w:ascii="Arial" w:hAnsi="Arial" w:cs="Arial"/>
                <w:color w:val="auto"/>
                <w:sz w:val="22"/>
                <w:szCs w:val="22"/>
              </w:rPr>
              <w:t>/0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  <w:r w:rsidRPr="00D90AAF">
              <w:rPr>
                <w:rFonts w:ascii="Arial" w:hAnsi="Arial" w:cs="Arial"/>
                <w:color w:val="auto"/>
                <w:sz w:val="22"/>
                <w:szCs w:val="22"/>
              </w:rPr>
              <w:t>/2017 to and including 27/07/2020</w:t>
            </w:r>
          </w:p>
        </w:tc>
      </w:tr>
      <w:tr w:rsidR="00B700F5" w:rsidRPr="009126DD" w:rsidTr="00C73767">
        <w:tc>
          <w:tcPr>
            <w:tcW w:w="3182" w:type="dxa"/>
          </w:tcPr>
          <w:p w:rsidR="00B700F5" w:rsidRPr="009126DD" w:rsidRDefault="00B700F5" w:rsidP="00636610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Julie Patricia Cameron</w:t>
            </w:r>
          </w:p>
        </w:tc>
        <w:tc>
          <w:tcPr>
            <w:tcW w:w="5455" w:type="dxa"/>
          </w:tcPr>
          <w:p w:rsidR="00B700F5" w:rsidRPr="009126DD" w:rsidRDefault="00D90AAF" w:rsidP="00455578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On and from 26</w:t>
            </w:r>
            <w:r w:rsidRPr="00D90AAF">
              <w:rPr>
                <w:rFonts w:ascii="Arial" w:hAnsi="Arial" w:cs="Arial"/>
                <w:color w:val="auto"/>
                <w:sz w:val="22"/>
                <w:szCs w:val="22"/>
              </w:rPr>
              <w:t>/0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  <w:r w:rsidRPr="00D90AAF">
              <w:rPr>
                <w:rFonts w:ascii="Arial" w:hAnsi="Arial" w:cs="Arial"/>
                <w:color w:val="auto"/>
                <w:sz w:val="22"/>
                <w:szCs w:val="22"/>
              </w:rPr>
              <w:t>/2017 to and including 27/07/2020</w:t>
            </w:r>
          </w:p>
        </w:tc>
      </w:tr>
      <w:tr w:rsidR="00B700F5" w:rsidRPr="009126DD" w:rsidTr="00C73767">
        <w:tc>
          <w:tcPr>
            <w:tcW w:w="3182" w:type="dxa"/>
          </w:tcPr>
          <w:p w:rsidR="00B700F5" w:rsidRPr="009126DD" w:rsidRDefault="00B700F5" w:rsidP="00636610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Susan Forrest</w:t>
            </w:r>
          </w:p>
        </w:tc>
        <w:tc>
          <w:tcPr>
            <w:tcW w:w="5455" w:type="dxa"/>
          </w:tcPr>
          <w:p w:rsidR="00B700F5" w:rsidRPr="009126DD" w:rsidRDefault="00D90AAF" w:rsidP="00455578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On and from 26</w:t>
            </w:r>
            <w:r w:rsidRPr="00D90AAF">
              <w:rPr>
                <w:rFonts w:ascii="Arial" w:hAnsi="Arial" w:cs="Arial"/>
                <w:color w:val="auto"/>
                <w:sz w:val="22"/>
                <w:szCs w:val="22"/>
              </w:rPr>
              <w:t>/0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  <w:r w:rsidRPr="00D90AAF">
              <w:rPr>
                <w:rFonts w:ascii="Arial" w:hAnsi="Arial" w:cs="Arial"/>
                <w:color w:val="auto"/>
                <w:sz w:val="22"/>
                <w:szCs w:val="22"/>
              </w:rPr>
              <w:t>/2017 to and including 27/07/2020</w:t>
            </w:r>
          </w:p>
        </w:tc>
      </w:tr>
      <w:tr w:rsidR="00B700F5" w:rsidRPr="009126DD" w:rsidTr="00C73767">
        <w:tc>
          <w:tcPr>
            <w:tcW w:w="3182" w:type="dxa"/>
          </w:tcPr>
          <w:p w:rsidR="00B700F5" w:rsidRPr="009126DD" w:rsidRDefault="00B700F5" w:rsidP="00636610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Megan Lianne Mahon</w:t>
            </w:r>
          </w:p>
        </w:tc>
        <w:tc>
          <w:tcPr>
            <w:tcW w:w="5455" w:type="dxa"/>
          </w:tcPr>
          <w:p w:rsidR="00B700F5" w:rsidRPr="009126DD" w:rsidRDefault="00D90AAF" w:rsidP="00455578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On and from 26</w:t>
            </w:r>
            <w:r w:rsidRPr="00D90AAF">
              <w:rPr>
                <w:rFonts w:ascii="Arial" w:hAnsi="Arial" w:cs="Arial"/>
                <w:color w:val="auto"/>
                <w:sz w:val="22"/>
                <w:szCs w:val="22"/>
              </w:rPr>
              <w:t>/0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  <w:r w:rsidRPr="00D90AAF">
              <w:rPr>
                <w:rFonts w:ascii="Arial" w:hAnsi="Arial" w:cs="Arial"/>
                <w:color w:val="auto"/>
                <w:sz w:val="22"/>
                <w:szCs w:val="22"/>
              </w:rPr>
              <w:t>/2017 to and including 27/07/2020</w:t>
            </w:r>
          </w:p>
        </w:tc>
      </w:tr>
      <w:tr w:rsidR="00B700F5" w:rsidRPr="009126DD" w:rsidTr="00C73767">
        <w:tc>
          <w:tcPr>
            <w:tcW w:w="3182" w:type="dxa"/>
          </w:tcPr>
          <w:p w:rsidR="00B700F5" w:rsidRPr="009126DD" w:rsidRDefault="00B700F5" w:rsidP="00636610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Douglas Robert Murtagh Murphy QC</w:t>
            </w:r>
          </w:p>
        </w:tc>
        <w:tc>
          <w:tcPr>
            <w:tcW w:w="5455" w:type="dxa"/>
          </w:tcPr>
          <w:p w:rsidR="00B700F5" w:rsidRPr="009126DD" w:rsidRDefault="00D90AAF" w:rsidP="00455578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On and from 26</w:t>
            </w:r>
            <w:r w:rsidRPr="00D90AAF">
              <w:rPr>
                <w:rFonts w:ascii="Arial" w:hAnsi="Arial" w:cs="Arial"/>
                <w:color w:val="auto"/>
                <w:sz w:val="22"/>
                <w:szCs w:val="22"/>
              </w:rPr>
              <w:t>/0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  <w:r w:rsidRPr="00D90AAF">
              <w:rPr>
                <w:rFonts w:ascii="Arial" w:hAnsi="Arial" w:cs="Arial"/>
                <w:color w:val="auto"/>
                <w:sz w:val="22"/>
                <w:szCs w:val="22"/>
              </w:rPr>
              <w:t>/2017 to and including 27/07/2020</w:t>
            </w:r>
          </w:p>
        </w:tc>
      </w:tr>
      <w:tr w:rsidR="00B700F5" w:rsidRPr="009126DD" w:rsidTr="00C73767">
        <w:tc>
          <w:tcPr>
            <w:tcW w:w="3182" w:type="dxa"/>
          </w:tcPr>
          <w:p w:rsidR="00B700F5" w:rsidRPr="009126DD" w:rsidRDefault="00B700F5" w:rsidP="00636610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Peter John Sheehy</w:t>
            </w:r>
          </w:p>
        </w:tc>
        <w:tc>
          <w:tcPr>
            <w:tcW w:w="5455" w:type="dxa"/>
          </w:tcPr>
          <w:p w:rsidR="00B700F5" w:rsidRPr="009126DD" w:rsidRDefault="00D90AAF" w:rsidP="00455578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On and from 26</w:t>
            </w:r>
            <w:r w:rsidRPr="00D90AAF">
              <w:rPr>
                <w:rFonts w:ascii="Arial" w:hAnsi="Arial" w:cs="Arial"/>
                <w:color w:val="auto"/>
                <w:sz w:val="22"/>
                <w:szCs w:val="22"/>
              </w:rPr>
              <w:t>/0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  <w:r w:rsidRPr="00D90AAF">
              <w:rPr>
                <w:rFonts w:ascii="Arial" w:hAnsi="Arial" w:cs="Arial"/>
                <w:color w:val="auto"/>
                <w:sz w:val="22"/>
                <w:szCs w:val="22"/>
              </w:rPr>
              <w:t>/2017 to and including 27/07/2020</w:t>
            </w:r>
          </w:p>
        </w:tc>
      </w:tr>
      <w:tr w:rsidR="00B700F5" w:rsidRPr="009126DD" w:rsidTr="00C73767">
        <w:tc>
          <w:tcPr>
            <w:tcW w:w="3182" w:type="dxa"/>
          </w:tcPr>
          <w:p w:rsidR="00B700F5" w:rsidRPr="009126DD" w:rsidRDefault="00B700F5" w:rsidP="00636610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126DD">
              <w:rPr>
                <w:rFonts w:ascii="Arial" w:hAnsi="Arial" w:cs="Arial"/>
                <w:sz w:val="22"/>
                <w:szCs w:val="22"/>
              </w:rPr>
              <w:t>Geoffrey Paul Sinclair</w:t>
            </w:r>
          </w:p>
        </w:tc>
        <w:tc>
          <w:tcPr>
            <w:tcW w:w="5455" w:type="dxa"/>
          </w:tcPr>
          <w:p w:rsidR="00B700F5" w:rsidRPr="009126DD" w:rsidRDefault="00D90AAF" w:rsidP="00455578">
            <w:pPr>
              <w:pStyle w:val="BodyText2"/>
              <w:tabs>
                <w:tab w:val="num" w:pos="8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On and from 26</w:t>
            </w:r>
            <w:r w:rsidRPr="00D90AAF">
              <w:rPr>
                <w:rFonts w:ascii="Arial" w:hAnsi="Arial" w:cs="Arial"/>
                <w:color w:val="auto"/>
                <w:sz w:val="22"/>
                <w:szCs w:val="22"/>
              </w:rPr>
              <w:t>/0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  <w:r w:rsidRPr="00D90AAF">
              <w:rPr>
                <w:rFonts w:ascii="Arial" w:hAnsi="Arial" w:cs="Arial"/>
                <w:color w:val="auto"/>
                <w:sz w:val="22"/>
                <w:szCs w:val="22"/>
              </w:rPr>
              <w:t>/2017 to and including 27/07/2020</w:t>
            </w:r>
          </w:p>
        </w:tc>
      </w:tr>
    </w:tbl>
    <w:p w:rsidR="00E973BC" w:rsidRPr="009126DD" w:rsidRDefault="00E973BC" w:rsidP="009126DD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126DD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E973BC" w:rsidRPr="003A2353" w:rsidRDefault="00B700F5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9126DD">
        <w:rPr>
          <w:rFonts w:ascii="Arial" w:hAnsi="Arial" w:cs="Arial"/>
          <w:sz w:val="22"/>
          <w:szCs w:val="22"/>
        </w:rPr>
        <w:t>Nil</w:t>
      </w:r>
      <w:r w:rsidR="00902E44">
        <w:rPr>
          <w:rFonts w:ascii="Arial" w:hAnsi="Arial" w:cs="Arial"/>
          <w:sz w:val="22"/>
          <w:szCs w:val="22"/>
        </w:rPr>
        <w:t>.</w:t>
      </w:r>
    </w:p>
    <w:sectPr w:rsidR="00E973BC" w:rsidRPr="003A2353" w:rsidSect="008743F1">
      <w:headerReference w:type="default" r:id="rId9"/>
      <w:type w:val="continuous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E7F" w:rsidRDefault="00116E7F" w:rsidP="00D6589B">
      <w:r>
        <w:separator/>
      </w:r>
    </w:p>
  </w:endnote>
  <w:endnote w:type="continuationSeparator" w:id="0">
    <w:p w:rsidR="00116E7F" w:rsidRDefault="00116E7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E7F" w:rsidRDefault="00116E7F" w:rsidP="00D6589B">
      <w:r>
        <w:separator/>
      </w:r>
    </w:p>
  </w:footnote>
  <w:footnote w:type="continuationSeparator" w:id="0">
    <w:p w:rsidR="00116E7F" w:rsidRDefault="00116E7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4FF" w:rsidRPr="00937A4A" w:rsidRDefault="00E324FF" w:rsidP="00E324F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E324FF" w:rsidRPr="00937A4A" w:rsidRDefault="00E324FF" w:rsidP="00E324F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E324FF" w:rsidRPr="00937A4A" w:rsidRDefault="00E324FF" w:rsidP="00E324F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July 2017 </w:t>
    </w:r>
  </w:p>
  <w:p w:rsidR="00E324FF" w:rsidRDefault="00E324FF" w:rsidP="00E324F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8371A">
      <w:rPr>
        <w:rFonts w:ascii="Arial" w:hAnsi="Arial" w:cs="Arial"/>
        <w:b/>
        <w:sz w:val="22"/>
        <w:szCs w:val="22"/>
        <w:u w:val="single"/>
      </w:rPr>
      <w:t xml:space="preserve">Appointment of six lay panel members, 13 practitioner panel members and </w:t>
    </w:r>
    <w:r w:rsidR="00F9385B">
      <w:rPr>
        <w:rFonts w:ascii="Arial" w:hAnsi="Arial" w:cs="Arial"/>
        <w:b/>
        <w:sz w:val="22"/>
        <w:szCs w:val="22"/>
        <w:u w:val="single"/>
      </w:rPr>
      <w:br/>
    </w:r>
    <w:r w:rsidRPr="0088371A">
      <w:rPr>
        <w:rFonts w:ascii="Arial" w:hAnsi="Arial" w:cs="Arial"/>
        <w:b/>
        <w:sz w:val="22"/>
        <w:szCs w:val="22"/>
        <w:u w:val="single"/>
      </w:rPr>
      <w:t>13 sessional ordinary members to the Queensland Ci</w:t>
    </w:r>
    <w:r>
      <w:rPr>
        <w:rFonts w:ascii="Arial" w:hAnsi="Arial" w:cs="Arial"/>
        <w:b/>
        <w:sz w:val="22"/>
        <w:szCs w:val="22"/>
        <w:u w:val="single"/>
      </w:rPr>
      <w:t>vil and Administrative Tribunal</w:t>
    </w:r>
  </w:p>
  <w:p w:rsidR="00E324FF" w:rsidRDefault="00E324FF" w:rsidP="00E324F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Minister for Training and Skills</w:t>
    </w:r>
  </w:p>
  <w:p w:rsidR="00947C69" w:rsidRDefault="00947C69" w:rsidP="00C73767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DCF" w:rsidRPr="00937A4A" w:rsidRDefault="00D01DCF" w:rsidP="00D01DC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D01DCF" w:rsidRPr="00937A4A" w:rsidRDefault="00D01DCF" w:rsidP="00D01DC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D01DCF" w:rsidRPr="00937A4A" w:rsidRDefault="00D01DCF" w:rsidP="00D01DC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July 2017 </w:t>
    </w:r>
  </w:p>
  <w:p w:rsidR="00D01DCF" w:rsidRDefault="00D01DCF" w:rsidP="00D01DC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8371A">
      <w:rPr>
        <w:rFonts w:ascii="Arial" w:hAnsi="Arial" w:cs="Arial"/>
        <w:b/>
        <w:sz w:val="22"/>
        <w:szCs w:val="22"/>
        <w:u w:val="single"/>
      </w:rPr>
      <w:t xml:space="preserve">Appointment of six lay panel members, 13 practitioner panel members and </w:t>
    </w:r>
    <w:r>
      <w:rPr>
        <w:rFonts w:ascii="Arial" w:hAnsi="Arial" w:cs="Arial"/>
        <w:b/>
        <w:sz w:val="22"/>
        <w:szCs w:val="22"/>
        <w:u w:val="single"/>
      </w:rPr>
      <w:br/>
    </w:r>
    <w:r w:rsidRPr="0088371A">
      <w:rPr>
        <w:rFonts w:ascii="Arial" w:hAnsi="Arial" w:cs="Arial"/>
        <w:b/>
        <w:sz w:val="22"/>
        <w:szCs w:val="22"/>
        <w:u w:val="single"/>
      </w:rPr>
      <w:t>13 sessional ordinary members to the Queensland Ci</w:t>
    </w:r>
    <w:r>
      <w:rPr>
        <w:rFonts w:ascii="Arial" w:hAnsi="Arial" w:cs="Arial"/>
        <w:b/>
        <w:sz w:val="22"/>
        <w:szCs w:val="22"/>
        <w:u w:val="single"/>
      </w:rPr>
      <w:t>vil and Administrative Tribunal</w:t>
    </w:r>
  </w:p>
  <w:p w:rsidR="00D01DCF" w:rsidRDefault="00D01DCF" w:rsidP="00D01DC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Minister for Training and Skills</w:t>
    </w:r>
  </w:p>
  <w:p w:rsidR="00D01DCF" w:rsidRDefault="00D01DCF" w:rsidP="00D01DCF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</w:p>
  <w:p w:rsidR="008743F1" w:rsidRPr="008743F1" w:rsidRDefault="008743F1" w:rsidP="00874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B438D"/>
    <w:multiLevelType w:val="hybridMultilevel"/>
    <w:tmpl w:val="AB86DE1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72E34"/>
    <w:multiLevelType w:val="multilevel"/>
    <w:tmpl w:val="AD2C0D7E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D782EBA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B8C4B93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90"/>
    <w:rsid w:val="000430DD"/>
    <w:rsid w:val="00080F8F"/>
    <w:rsid w:val="0008575A"/>
    <w:rsid w:val="00102858"/>
    <w:rsid w:val="00116E7F"/>
    <w:rsid w:val="001318FA"/>
    <w:rsid w:val="00140936"/>
    <w:rsid w:val="00156320"/>
    <w:rsid w:val="00174117"/>
    <w:rsid w:val="001E209B"/>
    <w:rsid w:val="001E7127"/>
    <w:rsid w:val="00207689"/>
    <w:rsid w:val="0021344B"/>
    <w:rsid w:val="00284590"/>
    <w:rsid w:val="002D649F"/>
    <w:rsid w:val="0033578E"/>
    <w:rsid w:val="0034298A"/>
    <w:rsid w:val="003A0671"/>
    <w:rsid w:val="003A13A1"/>
    <w:rsid w:val="003A2353"/>
    <w:rsid w:val="003B5871"/>
    <w:rsid w:val="0045460A"/>
    <w:rsid w:val="004C62AF"/>
    <w:rsid w:val="004E3AE1"/>
    <w:rsid w:val="004E4675"/>
    <w:rsid w:val="00501C66"/>
    <w:rsid w:val="0050474C"/>
    <w:rsid w:val="00550873"/>
    <w:rsid w:val="00636610"/>
    <w:rsid w:val="00654B0A"/>
    <w:rsid w:val="00732E22"/>
    <w:rsid w:val="00757B12"/>
    <w:rsid w:val="007A29B2"/>
    <w:rsid w:val="007D2E74"/>
    <w:rsid w:val="007E4BDC"/>
    <w:rsid w:val="00821E64"/>
    <w:rsid w:val="008743F1"/>
    <w:rsid w:val="008745DA"/>
    <w:rsid w:val="0088371A"/>
    <w:rsid w:val="008A4523"/>
    <w:rsid w:val="008F44CD"/>
    <w:rsid w:val="00902E44"/>
    <w:rsid w:val="009126DD"/>
    <w:rsid w:val="0093748E"/>
    <w:rsid w:val="00947C69"/>
    <w:rsid w:val="00A2048F"/>
    <w:rsid w:val="00A37523"/>
    <w:rsid w:val="00A4496B"/>
    <w:rsid w:val="00A527A5"/>
    <w:rsid w:val="00AC43C5"/>
    <w:rsid w:val="00AD7250"/>
    <w:rsid w:val="00AE69F0"/>
    <w:rsid w:val="00B700F5"/>
    <w:rsid w:val="00C07656"/>
    <w:rsid w:val="00C40FB0"/>
    <w:rsid w:val="00C73767"/>
    <w:rsid w:val="00C75E67"/>
    <w:rsid w:val="00CB1501"/>
    <w:rsid w:val="00CE6FBA"/>
    <w:rsid w:val="00CF0D8A"/>
    <w:rsid w:val="00D01DCF"/>
    <w:rsid w:val="00D22954"/>
    <w:rsid w:val="00D6589B"/>
    <w:rsid w:val="00D75134"/>
    <w:rsid w:val="00D90AAF"/>
    <w:rsid w:val="00D91F13"/>
    <w:rsid w:val="00DB6FE7"/>
    <w:rsid w:val="00DE61EC"/>
    <w:rsid w:val="00E324FF"/>
    <w:rsid w:val="00E40004"/>
    <w:rsid w:val="00E86C43"/>
    <w:rsid w:val="00E973BC"/>
    <w:rsid w:val="00EC0562"/>
    <w:rsid w:val="00F0095A"/>
    <w:rsid w:val="00F10DF9"/>
    <w:rsid w:val="00F9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customStyle="1" w:styleId="Cabinet2text">
    <w:name w:val="Cabinet 2 text"/>
    <w:basedOn w:val="Normal"/>
    <w:rsid w:val="0088371A"/>
    <w:pPr>
      <w:numPr>
        <w:ilvl w:val="1"/>
        <w:numId w:val="5"/>
      </w:numPr>
      <w:spacing w:before="120"/>
      <w:jc w:val="both"/>
    </w:pPr>
    <w:rPr>
      <w:rFonts w:eastAsia="Times New Roman"/>
      <w:color w:val="auto"/>
    </w:rPr>
  </w:style>
  <w:style w:type="paragraph" w:customStyle="1" w:styleId="Cabinet3text">
    <w:name w:val="Cabinet 3 text"/>
    <w:basedOn w:val="Cabinet2text"/>
    <w:rsid w:val="0088371A"/>
    <w:pPr>
      <w:numPr>
        <w:ilvl w:val="2"/>
      </w:numPr>
    </w:pPr>
  </w:style>
  <w:style w:type="paragraph" w:customStyle="1" w:styleId="Cabinet4text">
    <w:name w:val="Cabinet 4 text"/>
    <w:basedOn w:val="Cabinet2text"/>
    <w:rsid w:val="0088371A"/>
    <w:pPr>
      <w:numPr>
        <w:ilvl w:val="3"/>
      </w:numPr>
    </w:pPr>
  </w:style>
  <w:style w:type="numbering" w:customStyle="1" w:styleId="cabinet">
    <w:name w:val="cabinet"/>
    <w:rsid w:val="0088371A"/>
    <w:pPr>
      <w:numPr>
        <w:numId w:val="5"/>
      </w:numPr>
    </w:pPr>
  </w:style>
  <w:style w:type="paragraph" w:customStyle="1" w:styleId="StyleJustified">
    <w:name w:val="Style Justified"/>
    <w:basedOn w:val="Normal"/>
    <w:rsid w:val="0088371A"/>
    <w:pPr>
      <w:numPr>
        <w:numId w:val="5"/>
      </w:numPr>
      <w:spacing w:before="240"/>
      <w:jc w:val="both"/>
    </w:pPr>
    <w:rPr>
      <w:rFonts w:eastAsia="Times New Roman"/>
      <w:color w:val="auto"/>
    </w:rPr>
  </w:style>
  <w:style w:type="paragraph" w:customStyle="1" w:styleId="cabinet5text">
    <w:name w:val="cabinet 5 text"/>
    <w:basedOn w:val="Cabinet2text"/>
    <w:rsid w:val="0088371A"/>
    <w:pPr>
      <w:numPr>
        <w:ilvl w:val="4"/>
      </w:numPr>
    </w:pPr>
  </w:style>
  <w:style w:type="paragraph" w:styleId="BodyText2">
    <w:name w:val="Body Text 2"/>
    <w:basedOn w:val="Normal"/>
    <w:link w:val="BodyText2Char"/>
    <w:rsid w:val="0088371A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88371A"/>
    <w:rPr>
      <w:rFonts w:ascii="Times New Roman" w:eastAsia="Times New Roman" w:hAnsi="Times New Roman"/>
      <w:color w:val="000000"/>
      <w:sz w:val="24"/>
    </w:rPr>
  </w:style>
  <w:style w:type="table" w:styleId="TableGrid">
    <w:name w:val="Table Grid"/>
    <w:basedOn w:val="TableNormal"/>
    <w:uiPriority w:val="39"/>
    <w:locked/>
    <w:rsid w:val="00E324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37523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C6381-1089-40DB-8E2B-7850E51C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2960</Characters>
  <Application>Microsoft Office Word</Application>
  <DocSecurity>0</DocSecurity>
  <Lines>88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Base>https://www.cabinet.qld.gov.au/documents/2017/Jul/ApntQCAT/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2018-03-12T03:17:00Z</cp:lastPrinted>
  <dcterms:created xsi:type="dcterms:W3CDTF">2018-09-10T04:16:00Z</dcterms:created>
  <dcterms:modified xsi:type="dcterms:W3CDTF">2018-09-11T23:59:00Z</dcterms:modified>
  <cp:category>Signficant_Appointments,Courts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-731068445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